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33"/>
        <w:gridCol w:w="1882"/>
        <w:gridCol w:w="902"/>
        <w:gridCol w:w="2431"/>
        <w:gridCol w:w="2637"/>
        <w:gridCol w:w="1826"/>
        <w:gridCol w:w="1598"/>
        <w:gridCol w:w="1179"/>
      </w:tblGrid>
      <w:tr w:rsidR="00820AC2" w14:paraId="13D74B72" w14:textId="77777777" w:rsidTr="00FA5B7A">
        <w:tc>
          <w:tcPr>
            <w:tcW w:w="0" w:type="auto"/>
            <w:gridSpan w:val="8"/>
          </w:tcPr>
          <w:p w14:paraId="172C0AB9" w14:textId="77777777" w:rsidR="0064202A" w:rsidRDefault="00820AC2" w:rsidP="006420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708">
              <w:rPr>
                <w:rFonts w:ascii="標楷體" w:eastAsia="標楷體" w:hAnsi="標楷體" w:hint="eastAsia"/>
                <w:b/>
                <w:sz w:val="28"/>
                <w:szCs w:val="28"/>
              </w:rPr>
              <w:t>台灣公共環境建設發展協會</w:t>
            </w:r>
            <w:r w:rsidR="0064202A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64202A" w:rsidRPr="0064202A">
              <w:rPr>
                <w:rFonts w:ascii="標楷體" w:eastAsia="標楷體" w:hAnsi="標楷體" w:hint="eastAsia"/>
                <w:b/>
                <w:sz w:val="28"/>
                <w:szCs w:val="28"/>
              </w:rPr>
              <w:t>台南市建築師公會、台灣區營造公會台南辦事處合辦建築資訊模型</w:t>
            </w:r>
          </w:p>
          <w:p w14:paraId="00D2035A" w14:textId="15F29ADF" w:rsidR="00820AC2" w:rsidRPr="00F74708" w:rsidRDefault="0064202A" w:rsidP="006420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202A">
              <w:rPr>
                <w:rFonts w:ascii="標楷體" w:eastAsia="標楷體" w:hAnsi="標楷體"/>
                <w:b/>
                <w:sz w:val="28"/>
                <w:szCs w:val="28"/>
              </w:rPr>
              <w:t>BIM</w:t>
            </w:r>
            <w:r w:rsidRPr="0064202A">
              <w:rPr>
                <w:rFonts w:ascii="標楷體" w:eastAsia="標楷體" w:hAnsi="標楷體" w:hint="eastAsia"/>
                <w:b/>
                <w:sz w:val="28"/>
                <w:szCs w:val="28"/>
              </w:rPr>
              <w:t>台南基礎應用班第一期</w:t>
            </w:r>
            <w:r w:rsidR="00820AC2">
              <w:rPr>
                <w:rFonts w:ascii="標楷體" w:eastAsia="標楷體" w:hAnsi="標楷體" w:hint="eastAsia"/>
                <w:b/>
                <w:sz w:val="28"/>
                <w:szCs w:val="28"/>
              </w:rPr>
              <w:t>報名表</w:t>
            </w:r>
          </w:p>
        </w:tc>
      </w:tr>
      <w:tr w:rsidR="0064202A" w14:paraId="67C34C08" w14:textId="77777777" w:rsidTr="0064202A">
        <w:trPr>
          <w:trHeight w:val="396"/>
        </w:trPr>
        <w:tc>
          <w:tcPr>
            <w:tcW w:w="2933" w:type="dxa"/>
          </w:tcPr>
          <w:p w14:paraId="45760D49" w14:textId="77777777" w:rsidR="00820AC2" w:rsidRPr="000D156C" w:rsidRDefault="00820AC2" w:rsidP="00EB1B61">
            <w:pPr>
              <w:jc w:val="center"/>
            </w:pPr>
            <w:r w:rsidRPr="000D156C">
              <w:rPr>
                <w:rFonts w:hint="eastAsia"/>
              </w:rPr>
              <w:t>報名單位</w:t>
            </w:r>
          </w:p>
        </w:tc>
        <w:tc>
          <w:tcPr>
            <w:tcW w:w="1882" w:type="dxa"/>
          </w:tcPr>
          <w:p w14:paraId="5CE889B0" w14:textId="77777777" w:rsidR="00820AC2" w:rsidRPr="000D156C" w:rsidRDefault="00820AC2" w:rsidP="00EB1B61">
            <w:pPr>
              <w:jc w:val="center"/>
            </w:pPr>
            <w:r w:rsidRPr="000D156C">
              <w:rPr>
                <w:rFonts w:hint="eastAsia"/>
              </w:rPr>
              <w:t>姓名</w:t>
            </w:r>
          </w:p>
        </w:tc>
        <w:tc>
          <w:tcPr>
            <w:tcW w:w="902" w:type="dxa"/>
          </w:tcPr>
          <w:p w14:paraId="5FF71734" w14:textId="77777777" w:rsidR="00820AC2" w:rsidRPr="000D156C" w:rsidRDefault="00820AC2" w:rsidP="00EB1B6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31" w:type="dxa"/>
          </w:tcPr>
          <w:p w14:paraId="2541FFCE" w14:textId="77777777" w:rsidR="00820AC2" w:rsidRPr="000D156C" w:rsidRDefault="00820AC2" w:rsidP="00EB1B61">
            <w:pPr>
              <w:jc w:val="center"/>
            </w:pPr>
            <w:r w:rsidRPr="000D156C">
              <w:rPr>
                <w:rFonts w:hint="eastAsia"/>
              </w:rPr>
              <w:t>職稱</w:t>
            </w:r>
          </w:p>
        </w:tc>
        <w:tc>
          <w:tcPr>
            <w:tcW w:w="2637" w:type="dxa"/>
          </w:tcPr>
          <w:p w14:paraId="6FFF5A79" w14:textId="77777777" w:rsidR="00820AC2" w:rsidRPr="000D156C" w:rsidRDefault="00820AC2" w:rsidP="00EB1B61">
            <w:pPr>
              <w:jc w:val="center"/>
            </w:pPr>
            <w:r w:rsidRPr="000D156C">
              <w:rPr>
                <w:rFonts w:hint="eastAsia"/>
              </w:rPr>
              <w:t>最高學歷</w:t>
            </w:r>
          </w:p>
        </w:tc>
        <w:tc>
          <w:tcPr>
            <w:tcW w:w="1826" w:type="dxa"/>
          </w:tcPr>
          <w:p w14:paraId="323ECF97" w14:textId="77777777" w:rsidR="00820AC2" w:rsidRPr="000D156C" w:rsidRDefault="00820AC2" w:rsidP="00EB1B61">
            <w:pPr>
              <w:jc w:val="center"/>
            </w:pPr>
            <w:r w:rsidRPr="000D156C">
              <w:rPr>
                <w:rFonts w:hint="eastAsia"/>
              </w:rPr>
              <w:t>工地年資</w:t>
            </w:r>
          </w:p>
        </w:tc>
        <w:tc>
          <w:tcPr>
            <w:tcW w:w="1598" w:type="dxa"/>
          </w:tcPr>
          <w:p w14:paraId="2EAEA275" w14:textId="77777777" w:rsidR="00820AC2" w:rsidRPr="000D156C" w:rsidRDefault="00820AC2" w:rsidP="00EB1B61">
            <w:pPr>
              <w:jc w:val="center"/>
            </w:pPr>
            <w:r w:rsidRPr="000D156C">
              <w:rPr>
                <w:rFonts w:hint="eastAsia"/>
              </w:rPr>
              <w:t>聯絡電話</w:t>
            </w:r>
          </w:p>
        </w:tc>
        <w:tc>
          <w:tcPr>
            <w:tcW w:w="0" w:type="auto"/>
          </w:tcPr>
          <w:p w14:paraId="7C9B2ABB" w14:textId="77777777" w:rsidR="00820AC2" w:rsidRPr="000D156C" w:rsidRDefault="00820AC2" w:rsidP="00EB1B61">
            <w:pPr>
              <w:jc w:val="center"/>
            </w:pPr>
            <w:r>
              <w:rPr>
                <w:rFonts w:hint="eastAsia"/>
              </w:rPr>
              <w:t>電子信箱</w:t>
            </w:r>
          </w:p>
        </w:tc>
      </w:tr>
      <w:tr w:rsidR="0064202A" w14:paraId="2B10C449" w14:textId="77777777" w:rsidTr="0064202A">
        <w:trPr>
          <w:trHeight w:val="501"/>
        </w:trPr>
        <w:tc>
          <w:tcPr>
            <w:tcW w:w="2933" w:type="dxa"/>
            <w:vAlign w:val="center"/>
          </w:tcPr>
          <w:p w14:paraId="4A48B1BD" w14:textId="16653880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61D7698A" w14:textId="42497047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1FF8B0B8" w14:textId="46E7B64D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22A057AA" w14:textId="4302363E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  <w:vAlign w:val="center"/>
          </w:tcPr>
          <w:p w14:paraId="7C4FDFE8" w14:textId="05986909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1F4DCE9B" w14:textId="65EE64A8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06FBC570" w14:textId="1233BD35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3D204DA" w14:textId="1739746A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</w:tr>
      <w:tr w:rsidR="0064202A" w14:paraId="27F5F762" w14:textId="77777777" w:rsidTr="0064202A">
        <w:trPr>
          <w:trHeight w:val="501"/>
        </w:trPr>
        <w:tc>
          <w:tcPr>
            <w:tcW w:w="2933" w:type="dxa"/>
            <w:vAlign w:val="center"/>
          </w:tcPr>
          <w:p w14:paraId="3D46FAFD" w14:textId="77777777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671786E9" w14:textId="3032DB8C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0C9F9208" w14:textId="14B2F377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60B1FA45" w14:textId="0E92116B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  <w:vAlign w:val="center"/>
          </w:tcPr>
          <w:p w14:paraId="26DB2034" w14:textId="14A4BA77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3F6F3D63" w14:textId="648D1D2A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2992D848" w14:textId="49B5F537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180096B" w14:textId="44353EC5" w:rsidR="00FA5B7A" w:rsidRDefault="00FA5B7A" w:rsidP="00EB1B61">
            <w:pPr>
              <w:jc w:val="center"/>
              <w:rPr>
                <w:sz w:val="28"/>
                <w:szCs w:val="28"/>
              </w:rPr>
            </w:pPr>
          </w:p>
        </w:tc>
      </w:tr>
      <w:tr w:rsidR="00551374" w14:paraId="256E0609" w14:textId="77777777" w:rsidTr="0064202A">
        <w:trPr>
          <w:trHeight w:val="501"/>
        </w:trPr>
        <w:tc>
          <w:tcPr>
            <w:tcW w:w="2933" w:type="dxa"/>
            <w:vAlign w:val="center"/>
          </w:tcPr>
          <w:p w14:paraId="423A7DA3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58F29DFF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6EA419EC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28836E38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  <w:vAlign w:val="center"/>
          </w:tcPr>
          <w:p w14:paraId="55281B02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7EA0EC32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7E923D83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B4EB477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</w:tr>
      <w:tr w:rsidR="00551374" w14:paraId="646199C2" w14:textId="77777777" w:rsidTr="0064202A">
        <w:trPr>
          <w:trHeight w:val="501"/>
        </w:trPr>
        <w:tc>
          <w:tcPr>
            <w:tcW w:w="2933" w:type="dxa"/>
            <w:vAlign w:val="center"/>
          </w:tcPr>
          <w:p w14:paraId="2E526856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2A796A09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0EE596FE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18DE38D6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  <w:vAlign w:val="center"/>
          </w:tcPr>
          <w:p w14:paraId="203723D0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7E65B3A2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1EA93C39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D781F9C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</w:tr>
      <w:tr w:rsidR="00551374" w14:paraId="48918E59" w14:textId="77777777" w:rsidTr="0064202A">
        <w:trPr>
          <w:trHeight w:val="501"/>
        </w:trPr>
        <w:tc>
          <w:tcPr>
            <w:tcW w:w="2933" w:type="dxa"/>
            <w:vAlign w:val="center"/>
          </w:tcPr>
          <w:p w14:paraId="14CF84E0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782931E1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5F6B80E5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3A3CAA48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  <w:vAlign w:val="center"/>
          </w:tcPr>
          <w:p w14:paraId="445D64DF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4DF39B3F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1597B0BB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763BE89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</w:tr>
      <w:tr w:rsidR="00551374" w14:paraId="6E2DF21F" w14:textId="77777777" w:rsidTr="0064202A">
        <w:trPr>
          <w:trHeight w:val="501"/>
        </w:trPr>
        <w:tc>
          <w:tcPr>
            <w:tcW w:w="2933" w:type="dxa"/>
            <w:vAlign w:val="center"/>
          </w:tcPr>
          <w:p w14:paraId="316308F0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3F5A9AAE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11ECE798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487D78A7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  <w:vAlign w:val="center"/>
          </w:tcPr>
          <w:p w14:paraId="108A6E9F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29C275F9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24348B61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ED3CB61" w14:textId="77777777" w:rsidR="00551374" w:rsidRDefault="00551374" w:rsidP="00EB1B61">
            <w:pPr>
              <w:jc w:val="center"/>
              <w:rPr>
                <w:sz w:val="28"/>
                <w:szCs w:val="28"/>
              </w:rPr>
            </w:pPr>
          </w:p>
        </w:tc>
      </w:tr>
      <w:tr w:rsidR="0064202A" w14:paraId="6984EB0D" w14:textId="77777777" w:rsidTr="0064202A">
        <w:trPr>
          <w:trHeight w:val="501"/>
        </w:trPr>
        <w:tc>
          <w:tcPr>
            <w:tcW w:w="2933" w:type="dxa"/>
            <w:vAlign w:val="center"/>
          </w:tcPr>
          <w:p w14:paraId="22203635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48CC58CC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62775B84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17FED18A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  <w:vAlign w:val="center"/>
          </w:tcPr>
          <w:p w14:paraId="25B954E8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51FAFD7B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24DB302D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7D3F5AF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</w:tr>
      <w:tr w:rsidR="0064202A" w14:paraId="1E9BBFE6" w14:textId="77777777" w:rsidTr="0064202A">
        <w:trPr>
          <w:trHeight w:val="501"/>
        </w:trPr>
        <w:tc>
          <w:tcPr>
            <w:tcW w:w="2933" w:type="dxa"/>
            <w:vAlign w:val="center"/>
          </w:tcPr>
          <w:p w14:paraId="2B3A3F92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74A58274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0C8A81BF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38A03B8D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  <w:vAlign w:val="center"/>
          </w:tcPr>
          <w:p w14:paraId="76196EC7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48BBD156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685AB29F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A836A8E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</w:tr>
      <w:tr w:rsidR="00551374" w14:paraId="23F61B2D" w14:textId="77777777" w:rsidTr="0064202A">
        <w:trPr>
          <w:trHeight w:val="501"/>
        </w:trPr>
        <w:tc>
          <w:tcPr>
            <w:tcW w:w="2933" w:type="dxa"/>
            <w:vAlign w:val="center"/>
          </w:tcPr>
          <w:p w14:paraId="121159BF" w14:textId="77777777" w:rsidR="00551374" w:rsidRDefault="00551374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3EACB427" w14:textId="77777777" w:rsidR="00551374" w:rsidRDefault="00551374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028805C0" w14:textId="77777777" w:rsidR="00551374" w:rsidRDefault="00551374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37515877" w14:textId="77777777" w:rsidR="00551374" w:rsidRDefault="00551374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  <w:vAlign w:val="center"/>
          </w:tcPr>
          <w:p w14:paraId="46BB8C2C" w14:textId="77777777" w:rsidR="00551374" w:rsidRDefault="00551374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23FD54A5" w14:textId="77777777" w:rsidR="00551374" w:rsidRDefault="00551374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48A4FD8E" w14:textId="77777777" w:rsidR="00551374" w:rsidRDefault="00551374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CA01297" w14:textId="77777777" w:rsidR="00551374" w:rsidRDefault="00551374" w:rsidP="00FA5B7A">
            <w:pPr>
              <w:jc w:val="center"/>
              <w:rPr>
                <w:sz w:val="28"/>
                <w:szCs w:val="28"/>
              </w:rPr>
            </w:pPr>
          </w:p>
        </w:tc>
      </w:tr>
      <w:tr w:rsidR="0064202A" w14:paraId="3B8193A1" w14:textId="77777777" w:rsidTr="0064202A">
        <w:trPr>
          <w:trHeight w:val="501"/>
        </w:trPr>
        <w:tc>
          <w:tcPr>
            <w:tcW w:w="2933" w:type="dxa"/>
            <w:vAlign w:val="center"/>
          </w:tcPr>
          <w:p w14:paraId="581DAD33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058A64C8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29490BAC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7251961B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  <w:vAlign w:val="center"/>
          </w:tcPr>
          <w:p w14:paraId="3EF874BB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5CA30B90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75FF8726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6F0B5F6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</w:tr>
      <w:tr w:rsidR="0064202A" w14:paraId="7A0F94B5" w14:textId="77777777" w:rsidTr="0064202A">
        <w:trPr>
          <w:trHeight w:val="501"/>
        </w:trPr>
        <w:tc>
          <w:tcPr>
            <w:tcW w:w="2933" w:type="dxa"/>
            <w:vAlign w:val="center"/>
          </w:tcPr>
          <w:p w14:paraId="75096B97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05717379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6C67A6EC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5F7B8DE4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  <w:vAlign w:val="center"/>
          </w:tcPr>
          <w:p w14:paraId="21FF3BB9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57A2DE27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1E3175FB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87E2AA" w14:textId="77777777" w:rsidR="00FA5B7A" w:rsidRDefault="00FA5B7A" w:rsidP="00FA5B7A">
            <w:pPr>
              <w:jc w:val="center"/>
              <w:rPr>
                <w:sz w:val="28"/>
                <w:szCs w:val="28"/>
              </w:rPr>
            </w:pPr>
          </w:p>
        </w:tc>
      </w:tr>
      <w:tr w:rsidR="0064202A" w14:paraId="5F72DA56" w14:textId="77777777" w:rsidTr="0064202A">
        <w:tc>
          <w:tcPr>
            <w:tcW w:w="2933" w:type="dxa"/>
          </w:tcPr>
          <w:p w14:paraId="06C9D1D7" w14:textId="77777777" w:rsidR="00FA5B7A" w:rsidRDefault="00FA5B7A" w:rsidP="00FA5B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</w:p>
        </w:tc>
        <w:tc>
          <w:tcPr>
            <w:tcW w:w="12455" w:type="dxa"/>
            <w:gridSpan w:val="7"/>
          </w:tcPr>
          <w:p w14:paraId="0783D4EA" w14:textId="628A7A66" w:rsidR="00FA5B7A" w:rsidRPr="00027974" w:rsidRDefault="00FA5B7A" w:rsidP="00FA5B7A">
            <w:pPr>
              <w:numPr>
                <w:ilvl w:val="0"/>
                <w:numId w:val="1"/>
              </w:numPr>
              <w:snapToGrid w:val="0"/>
              <w:spacing w:line="240" w:lineRule="atLeast"/>
              <w:rPr>
                <w:rFonts w:ascii="Calibri" w:eastAsia="標楷體" w:hAnsi="Calibri"/>
              </w:rPr>
            </w:pPr>
            <w:r w:rsidRPr="00027974">
              <w:rPr>
                <w:rFonts w:ascii="Calibri" w:eastAsia="標楷體" w:hAnsi="Calibri" w:hint="eastAsia"/>
              </w:rPr>
              <w:t>本</w:t>
            </w:r>
            <w:r>
              <w:rPr>
                <w:rFonts w:ascii="Calibri" w:eastAsia="標楷體" w:hAnsi="Calibri" w:hint="eastAsia"/>
              </w:rPr>
              <w:t>訓練課程</w:t>
            </w:r>
            <w:r w:rsidRPr="00027974">
              <w:rPr>
                <w:rFonts w:ascii="Calibri" w:eastAsia="標楷體" w:hAnsi="Calibri" w:hint="eastAsia"/>
              </w:rPr>
              <w:t>由本會與</w:t>
            </w:r>
            <w:r w:rsidR="00244FD9">
              <w:rPr>
                <w:rFonts w:ascii="Calibri" w:eastAsia="標楷體" w:hAnsi="Calibri" w:hint="eastAsia"/>
              </w:rPr>
              <w:t>屏東</w:t>
            </w:r>
            <w:r w:rsidRPr="00027974">
              <w:rPr>
                <w:rFonts w:ascii="Calibri" w:eastAsia="標楷體" w:hAnsi="Calibri" w:hint="eastAsia"/>
              </w:rPr>
              <w:t>科技大學工程資訊整合與模擬研究中心合作辦理，基礎應用班第一期</w:t>
            </w:r>
            <w:r>
              <w:rPr>
                <w:rFonts w:ascii="Calibri" w:eastAsia="標楷體" w:hAnsi="Calibri"/>
              </w:rPr>
              <w:t>24</w:t>
            </w:r>
            <w:r w:rsidRPr="00027974">
              <w:rPr>
                <w:rFonts w:ascii="Calibri" w:eastAsia="標楷體" w:hAnsi="Calibri" w:hint="eastAsia"/>
              </w:rPr>
              <w:t>人，以本會會員</w:t>
            </w:r>
            <w:r w:rsidR="0064202A">
              <w:rPr>
                <w:rFonts w:ascii="Calibri" w:eastAsia="標楷體" w:hAnsi="Calibri" w:hint="eastAsia"/>
              </w:rPr>
              <w:t>、</w:t>
            </w:r>
            <w:r w:rsidR="00551374">
              <w:rPr>
                <w:rFonts w:ascii="Calibri" w:eastAsia="標楷體" w:hAnsi="Calibri" w:hint="eastAsia"/>
              </w:rPr>
              <w:t>會員</w:t>
            </w:r>
            <w:r w:rsidRPr="00027974">
              <w:rPr>
                <w:rFonts w:ascii="Calibri" w:eastAsia="標楷體" w:hAnsi="Calibri" w:hint="eastAsia"/>
              </w:rPr>
              <w:t>公司人員</w:t>
            </w:r>
            <w:r w:rsidR="00551374" w:rsidRPr="00027974">
              <w:rPr>
                <w:rFonts w:ascii="Calibri" w:eastAsia="標楷體" w:hAnsi="Calibri" w:hint="eastAsia"/>
              </w:rPr>
              <w:t>優先</w:t>
            </w:r>
            <w:r w:rsidRPr="00027974">
              <w:rPr>
                <w:rFonts w:ascii="Calibri" w:eastAsia="標楷體" w:hAnsi="Calibri" w:hint="eastAsia"/>
              </w:rPr>
              <w:t>報名，</w:t>
            </w:r>
            <w:hyperlink r:id="rId5" w:history="1">
              <w:r w:rsidR="0064202A" w:rsidRPr="003B3D55">
                <w:rPr>
                  <w:rStyle w:val="af"/>
                  <w:rFonts w:ascii="Calibri" w:eastAsia="標楷體" w:hAnsi="Calibri" w:hint="eastAsia"/>
                </w:rPr>
                <w:t>報名表請填寫寄送至</w:t>
              </w:r>
              <w:r w:rsidR="0064202A" w:rsidRPr="003B3D55">
                <w:rPr>
                  <w:rStyle w:val="af"/>
                  <w:rFonts w:ascii="Calibri" w:eastAsia="標楷體" w:hAnsi="Calibri"/>
                </w:rPr>
                <w:t>tpecda@gmail.com</w:t>
              </w:r>
            </w:hyperlink>
            <w:r w:rsidR="0064202A">
              <w:rPr>
                <w:rFonts w:ascii="Calibri" w:eastAsia="標楷體" w:hAnsi="Calibri" w:hint="eastAsia"/>
              </w:rPr>
              <w:t>，</w:t>
            </w:r>
            <w:r w:rsidRPr="00027974">
              <w:rPr>
                <w:rFonts w:ascii="Calibri" w:eastAsia="標楷體" w:hAnsi="Calibri" w:hint="eastAsia"/>
              </w:rPr>
              <w:t>額滿為止。</w:t>
            </w:r>
          </w:p>
          <w:p w14:paraId="432B3CBC" w14:textId="6E647304" w:rsidR="000B5F2C" w:rsidRDefault="00FA5B7A" w:rsidP="000B5F2C">
            <w:pPr>
              <w:numPr>
                <w:ilvl w:val="0"/>
                <w:numId w:val="1"/>
              </w:numPr>
              <w:snapToGrid w:val="0"/>
              <w:spacing w:line="240" w:lineRule="atLeast"/>
              <w:rPr>
                <w:rFonts w:ascii="Calibri" w:eastAsia="標楷體" w:hAnsi="Calibri"/>
              </w:rPr>
            </w:pPr>
            <w:r w:rsidRPr="00027974">
              <w:rPr>
                <w:rFonts w:ascii="Calibri" w:eastAsia="標楷體" w:hAnsi="Calibri" w:hint="eastAsia"/>
              </w:rPr>
              <w:t>本班期開課時間預定為</w:t>
            </w:r>
            <w:r w:rsidRPr="00027974">
              <w:rPr>
                <w:rFonts w:ascii="Calibri" w:eastAsia="標楷體" w:hAnsi="Calibri"/>
              </w:rPr>
              <w:t>114</w:t>
            </w:r>
            <w:r w:rsidRPr="00027974">
              <w:rPr>
                <w:rFonts w:ascii="Calibri" w:eastAsia="標楷體" w:hAnsi="Calibri" w:hint="eastAsia"/>
              </w:rPr>
              <w:t>年</w:t>
            </w:r>
            <w:r w:rsidR="00244FD9">
              <w:rPr>
                <w:rFonts w:ascii="Calibri" w:eastAsia="標楷體" w:hAnsi="Calibri" w:hint="eastAsia"/>
              </w:rPr>
              <w:t>10</w:t>
            </w:r>
            <w:r w:rsidRPr="00027974">
              <w:rPr>
                <w:rFonts w:ascii="Calibri" w:eastAsia="標楷體" w:hAnsi="Calibri" w:hint="eastAsia"/>
              </w:rPr>
              <w:t>月</w:t>
            </w:r>
            <w:r w:rsidR="00244FD9">
              <w:rPr>
                <w:rFonts w:ascii="Calibri" w:eastAsia="標楷體" w:hAnsi="Calibri" w:hint="eastAsia"/>
              </w:rPr>
              <w:t>17</w:t>
            </w:r>
            <w:r w:rsidRPr="00027974">
              <w:rPr>
                <w:rFonts w:ascii="Calibri" w:eastAsia="標楷體" w:hAnsi="Calibri" w:hint="eastAsia"/>
              </w:rPr>
              <w:t>日（</w:t>
            </w:r>
            <w:r w:rsidR="00244FD9">
              <w:rPr>
                <w:rFonts w:ascii="Calibri" w:eastAsia="標楷體" w:hAnsi="Calibri" w:hint="eastAsia"/>
              </w:rPr>
              <w:t>五</w:t>
            </w:r>
            <w:r w:rsidRPr="00027974">
              <w:rPr>
                <w:rFonts w:ascii="Calibri" w:eastAsia="標楷體" w:hAnsi="Calibri" w:hint="eastAsia"/>
              </w:rPr>
              <w:t>）</w:t>
            </w:r>
            <w:r w:rsidR="00551374">
              <w:rPr>
                <w:rFonts w:ascii="Calibri" w:eastAsia="標楷體" w:hAnsi="Calibri" w:hint="eastAsia"/>
              </w:rPr>
              <w:t>起</w:t>
            </w:r>
            <w:r w:rsidRPr="00027974">
              <w:rPr>
                <w:rFonts w:ascii="Calibri" w:eastAsia="標楷體" w:hAnsi="Calibri" w:hint="eastAsia"/>
              </w:rPr>
              <w:t>，上課時間為</w:t>
            </w:r>
            <w:r w:rsidR="00244FD9">
              <w:rPr>
                <w:rFonts w:ascii="Calibri" w:eastAsia="標楷體" w:hAnsi="Calibri" w:hint="eastAsia"/>
              </w:rPr>
              <w:t>每</w:t>
            </w:r>
            <w:r w:rsidRPr="00027974">
              <w:rPr>
                <w:rFonts w:ascii="Calibri" w:eastAsia="標楷體" w:hAnsi="Calibri" w:hint="eastAsia"/>
              </w:rPr>
              <w:t>週</w:t>
            </w:r>
            <w:r w:rsidR="00244FD9">
              <w:rPr>
                <w:rFonts w:ascii="Calibri" w:eastAsia="標楷體" w:hAnsi="Calibri" w:hint="eastAsia"/>
              </w:rPr>
              <w:t>五</w:t>
            </w:r>
            <w:r w:rsidR="000B5F2C" w:rsidRPr="000B5F2C">
              <w:rPr>
                <w:rFonts w:ascii="Calibri" w:eastAsia="標楷體" w:hAnsi="Calibri"/>
              </w:rPr>
              <w:t>上午第一節</w:t>
            </w:r>
            <w:r w:rsidR="000B5F2C" w:rsidRPr="000B5F2C">
              <w:rPr>
                <w:rFonts w:ascii="Calibri" w:eastAsia="標楷體" w:hAnsi="Calibri" w:hint="eastAsia"/>
              </w:rPr>
              <w:t>課</w:t>
            </w:r>
            <w:r w:rsidR="000B5F2C" w:rsidRPr="000B5F2C">
              <w:rPr>
                <w:rFonts w:ascii="Calibri" w:eastAsia="標楷體" w:hAnsi="Calibri"/>
              </w:rPr>
              <w:t>09:00</w:t>
            </w:r>
            <w:r w:rsidR="000B5F2C" w:rsidRPr="000B5F2C">
              <w:rPr>
                <w:rFonts w:ascii="Calibri" w:eastAsia="標楷體" w:hAnsi="Calibri" w:hint="eastAsia"/>
              </w:rPr>
              <w:t>開始到</w:t>
            </w:r>
            <w:r w:rsidR="000B5F2C" w:rsidRPr="000B5F2C">
              <w:rPr>
                <w:rFonts w:ascii="Calibri" w:eastAsia="標楷體" w:hAnsi="Calibri"/>
              </w:rPr>
              <w:t>下午第六節</w:t>
            </w:r>
            <w:r w:rsidR="000B5F2C" w:rsidRPr="000B5F2C">
              <w:rPr>
                <w:rFonts w:ascii="Calibri" w:eastAsia="標楷體" w:hAnsi="Calibri" w:hint="eastAsia"/>
              </w:rPr>
              <w:t>課</w:t>
            </w:r>
            <w:r w:rsidR="000B5F2C" w:rsidRPr="000B5F2C">
              <w:rPr>
                <w:rFonts w:ascii="Calibri" w:eastAsia="標楷體" w:hAnsi="Calibri"/>
              </w:rPr>
              <w:t>16:00</w:t>
            </w:r>
            <w:r w:rsidRPr="000B5F2C">
              <w:rPr>
                <w:rFonts w:ascii="Calibri" w:eastAsia="標楷體" w:hAnsi="Calibri" w:hint="eastAsia"/>
              </w:rPr>
              <w:t>，為期</w:t>
            </w:r>
            <w:r w:rsidR="00244FD9" w:rsidRPr="000B5F2C">
              <w:rPr>
                <w:rFonts w:ascii="Calibri" w:eastAsia="標楷體" w:hAnsi="Calibri" w:hint="eastAsia"/>
              </w:rPr>
              <w:t>4</w:t>
            </w:r>
            <w:r w:rsidRPr="000B5F2C">
              <w:rPr>
                <w:rFonts w:ascii="Calibri" w:eastAsia="標楷體" w:hAnsi="Calibri" w:hint="eastAsia"/>
              </w:rPr>
              <w:t>週，上課地點</w:t>
            </w:r>
            <w:r w:rsidRPr="000B5F2C">
              <w:rPr>
                <w:rFonts w:ascii="Calibri" w:eastAsia="標楷體" w:hAnsi="Calibri"/>
              </w:rPr>
              <w:t>於聯成</w:t>
            </w:r>
            <w:r w:rsidRPr="000B5F2C">
              <w:rPr>
                <w:rFonts w:ascii="Calibri" w:eastAsia="標楷體" w:hAnsi="Calibri" w:hint="eastAsia"/>
              </w:rPr>
              <w:t>電腦</w:t>
            </w:r>
            <w:r w:rsidR="00244FD9" w:rsidRPr="000B5F2C">
              <w:rPr>
                <w:rFonts w:ascii="Calibri" w:eastAsia="標楷體" w:hAnsi="Calibri" w:hint="eastAsia"/>
              </w:rPr>
              <w:t>台南</w:t>
            </w:r>
            <w:r w:rsidRPr="000B5F2C">
              <w:rPr>
                <w:rFonts w:ascii="Calibri" w:eastAsia="標楷體" w:hAnsi="Calibri"/>
              </w:rPr>
              <w:t>分</w:t>
            </w:r>
            <w:r w:rsidRPr="000B5F2C">
              <w:rPr>
                <w:rFonts w:ascii="Calibri" w:eastAsia="標楷體" w:hAnsi="Calibri" w:hint="eastAsia"/>
              </w:rPr>
              <w:t>校（</w:t>
            </w:r>
            <w:r w:rsidR="00244FD9" w:rsidRPr="000B5F2C">
              <w:rPr>
                <w:rFonts w:ascii="Calibri" w:eastAsia="標楷體" w:hAnsi="Calibri" w:hint="eastAsia"/>
              </w:rPr>
              <w:t>台南</w:t>
            </w:r>
            <w:r w:rsidRPr="000B5F2C">
              <w:rPr>
                <w:rFonts w:ascii="Calibri" w:eastAsia="標楷體" w:hAnsi="Calibri"/>
              </w:rPr>
              <w:t>市</w:t>
            </w:r>
            <w:r w:rsidR="00244FD9" w:rsidRPr="000B5F2C">
              <w:rPr>
                <w:rFonts w:ascii="Calibri" w:eastAsia="標楷體" w:hAnsi="Calibri" w:hint="eastAsia"/>
              </w:rPr>
              <w:t>成功路</w:t>
            </w:r>
            <w:r w:rsidR="00244FD9" w:rsidRPr="000B5F2C">
              <w:rPr>
                <w:rFonts w:ascii="Calibri" w:eastAsia="標楷體" w:hAnsi="Calibri" w:hint="eastAsia"/>
              </w:rPr>
              <w:t>57</w:t>
            </w:r>
            <w:r w:rsidRPr="000B5F2C">
              <w:rPr>
                <w:rFonts w:ascii="Calibri" w:eastAsia="標楷體" w:hAnsi="Calibri"/>
              </w:rPr>
              <w:t>號</w:t>
            </w:r>
            <w:r w:rsidRPr="000B5F2C">
              <w:rPr>
                <w:rFonts w:ascii="Calibri" w:eastAsia="標楷體" w:hAnsi="Calibri" w:hint="eastAsia"/>
              </w:rPr>
              <w:t>，近</w:t>
            </w:r>
            <w:r w:rsidR="00244FD9" w:rsidRPr="000B5F2C">
              <w:rPr>
                <w:rFonts w:ascii="Calibri" w:eastAsia="標楷體" w:hAnsi="Calibri" w:hint="eastAsia"/>
              </w:rPr>
              <w:t>台南火車站</w:t>
            </w:r>
            <w:r w:rsidRPr="000B5F2C">
              <w:rPr>
                <w:rFonts w:ascii="Calibri" w:eastAsia="標楷體" w:hAnsi="Calibri" w:hint="eastAsia"/>
              </w:rPr>
              <w:t>）</w:t>
            </w:r>
            <w:r w:rsidR="00244FD9" w:rsidRPr="000B5F2C">
              <w:rPr>
                <w:rFonts w:ascii="Calibri" w:eastAsia="標楷體" w:hAnsi="Calibri" w:hint="eastAsia"/>
              </w:rPr>
              <w:t>，教室編號</w:t>
            </w:r>
            <w:r w:rsidR="00244FD9" w:rsidRPr="000B5F2C">
              <w:rPr>
                <w:rFonts w:ascii="Calibri" w:eastAsia="標楷體" w:hAnsi="Calibri" w:hint="eastAsia"/>
              </w:rPr>
              <w:t>:1001</w:t>
            </w:r>
            <w:r w:rsidRPr="000B5F2C">
              <w:rPr>
                <w:rFonts w:ascii="Calibri" w:eastAsia="標楷體" w:hAnsi="Calibri" w:hint="eastAsia"/>
              </w:rPr>
              <w:t>。</w:t>
            </w:r>
          </w:p>
          <w:p w14:paraId="77F05637" w14:textId="4C2BB0D2" w:rsidR="00FA5B7A" w:rsidRPr="000B5F2C" w:rsidRDefault="00FA5B7A" w:rsidP="000B5F2C">
            <w:pPr>
              <w:numPr>
                <w:ilvl w:val="0"/>
                <w:numId w:val="1"/>
              </w:numPr>
              <w:snapToGrid w:val="0"/>
              <w:spacing w:line="240" w:lineRule="atLeast"/>
              <w:rPr>
                <w:rFonts w:ascii="Calibri" w:eastAsia="標楷體" w:hAnsi="Calibri"/>
              </w:rPr>
            </w:pPr>
            <w:r w:rsidRPr="000B5F2C">
              <w:rPr>
                <w:rFonts w:ascii="Calibri" w:eastAsia="標楷體" w:hAnsi="Calibri" w:hint="eastAsia"/>
              </w:rPr>
              <w:t>本訓練課程，每班</w:t>
            </w:r>
            <w:r w:rsidRPr="000B5F2C">
              <w:rPr>
                <w:rFonts w:ascii="Calibri" w:eastAsia="標楷體" w:hAnsi="Calibri"/>
              </w:rPr>
              <w:t>24</w:t>
            </w:r>
            <w:r w:rsidRPr="000B5F2C">
              <w:rPr>
                <w:rFonts w:ascii="Calibri" w:eastAsia="標楷體" w:hAnsi="Calibri" w:hint="eastAsia"/>
              </w:rPr>
              <w:t>人，每人費用</w:t>
            </w:r>
            <w:r w:rsidRPr="000B5F2C">
              <w:rPr>
                <w:rFonts w:ascii="Calibri" w:eastAsia="標楷體" w:hAnsi="Calibri"/>
              </w:rPr>
              <w:t>15,000</w:t>
            </w:r>
            <w:r w:rsidRPr="000B5F2C">
              <w:rPr>
                <w:rFonts w:ascii="Calibri" w:eastAsia="標楷體" w:hAnsi="Calibri" w:hint="eastAsia"/>
              </w:rPr>
              <w:t>元，報名核准後由本會通知繳費，開戶行：台灣企銀北鳳山分行，戶名：社團法人台灣公共環境建設發展協會，帳號：</w:t>
            </w:r>
            <w:r w:rsidRPr="000B5F2C">
              <w:rPr>
                <w:rFonts w:ascii="Calibri" w:eastAsia="標楷體" w:hAnsi="Calibri"/>
              </w:rPr>
              <w:t>840-12-191900</w:t>
            </w:r>
            <w:r w:rsidRPr="000B5F2C">
              <w:rPr>
                <w:rFonts w:ascii="Calibri" w:eastAsia="標楷體" w:hAnsi="Calibri" w:hint="eastAsia"/>
              </w:rPr>
              <w:t>。</w:t>
            </w:r>
          </w:p>
          <w:p w14:paraId="5A288493" w14:textId="1F87E53D" w:rsidR="00FA5B7A" w:rsidRPr="00027974" w:rsidRDefault="00FA5B7A" w:rsidP="00244FD9">
            <w:pPr>
              <w:numPr>
                <w:ilvl w:val="0"/>
                <w:numId w:val="1"/>
              </w:numPr>
              <w:snapToGrid w:val="0"/>
              <w:spacing w:line="240" w:lineRule="atLeast"/>
              <w:rPr>
                <w:rFonts w:ascii="Calibri" w:eastAsia="標楷體" w:hAnsi="Calibri"/>
              </w:rPr>
            </w:pPr>
            <w:r w:rsidRPr="00027974">
              <w:rPr>
                <w:rFonts w:eastAsia="標楷體" w:hint="eastAsia"/>
              </w:rPr>
              <w:t>本</w:t>
            </w:r>
            <w:r>
              <w:rPr>
                <w:rFonts w:ascii="Calibri" w:eastAsia="標楷體" w:hAnsi="Calibri" w:hint="eastAsia"/>
              </w:rPr>
              <w:t>訓練課程</w:t>
            </w:r>
            <w:r w:rsidRPr="00027974">
              <w:rPr>
                <w:rFonts w:eastAsia="標楷體" w:hint="eastAsia"/>
              </w:rPr>
              <w:t>開課時間、課程內容等，得由本會與</w:t>
            </w:r>
            <w:r w:rsidR="00244FD9">
              <w:rPr>
                <w:rFonts w:eastAsia="標楷體" w:hint="eastAsia"/>
              </w:rPr>
              <w:t>屏東</w:t>
            </w:r>
            <w:r w:rsidRPr="00027974">
              <w:rPr>
                <w:rFonts w:eastAsia="標楷體" w:hint="eastAsia"/>
              </w:rPr>
              <w:t>科技大學工</w:t>
            </w:r>
            <w:r w:rsidRPr="00027974">
              <w:rPr>
                <w:rFonts w:ascii="Calibri" w:eastAsia="標楷體" w:hAnsi="Calibri" w:hint="eastAsia"/>
              </w:rPr>
              <w:t>程資訊整合與模擬研究中心</w:t>
            </w:r>
            <w:r w:rsidRPr="00027974">
              <w:rPr>
                <w:rFonts w:eastAsia="標楷體" w:hint="eastAsia"/>
              </w:rPr>
              <w:t>修改或通知。</w:t>
            </w:r>
          </w:p>
        </w:tc>
      </w:tr>
    </w:tbl>
    <w:p w14:paraId="7AC8C1FC" w14:textId="77777777" w:rsidR="00820AC2" w:rsidRPr="00820AC2" w:rsidRDefault="00820AC2"/>
    <w:sectPr w:rsidR="00820AC2" w:rsidRPr="00820AC2" w:rsidSect="00FA5B7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7699"/>
    <w:multiLevelType w:val="hybridMultilevel"/>
    <w:tmpl w:val="4A4A53FA"/>
    <w:lvl w:ilvl="0" w:tplc="5BA2C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961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C2"/>
    <w:rsid w:val="000B5F2C"/>
    <w:rsid w:val="00244FD9"/>
    <w:rsid w:val="00345D26"/>
    <w:rsid w:val="00523850"/>
    <w:rsid w:val="00551374"/>
    <w:rsid w:val="0064202A"/>
    <w:rsid w:val="006C2FB7"/>
    <w:rsid w:val="00820AC2"/>
    <w:rsid w:val="00BF6836"/>
    <w:rsid w:val="00C91351"/>
    <w:rsid w:val="00D51543"/>
    <w:rsid w:val="00D64302"/>
    <w:rsid w:val="00EB1B61"/>
    <w:rsid w:val="00F82573"/>
    <w:rsid w:val="00F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AB27"/>
  <w15:chartTrackingRefBased/>
  <w15:docId w15:val="{90C17F17-8A00-1543-84D8-24AA1111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A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AC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AC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AC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AC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AC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AC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0A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20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20AC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20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20AC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0AC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0AC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0AC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0A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0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2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20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20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A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0A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0AC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2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4202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4202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6420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2577;&#21517;&#34920;&#35531;&#22635;&#23531;&#23492;&#36865;&#33267;tpec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F113134111</dc:creator>
  <cp:keywords/>
  <dc:description/>
  <cp:lastModifiedBy>F113134111</cp:lastModifiedBy>
  <cp:revision>10</cp:revision>
  <dcterms:created xsi:type="dcterms:W3CDTF">2025-06-06T04:07:00Z</dcterms:created>
  <dcterms:modified xsi:type="dcterms:W3CDTF">2025-09-13T03:00:00Z</dcterms:modified>
</cp:coreProperties>
</file>